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/>
          <w:bCs/>
        </w:rPr>
        <w:t xml:space="preserve">OSS Governance: Classifying Real Decisions</w:t>
      </w:r>
    </w:p>
    <w:p>
      <w:pPr>
        <w:spacing w:after="160"/>
      </w:pPr>
      <w:r>
        <w:rPr>
          <w:b/>
          <w:bCs/>
          <w:color w:val="666666"/>
          <w:sz w:val="22"/>
          <w:szCs w:val="22"/>
        </w:rPr>
        <w:t xml:space="preserve">Open Source Software Development — In-class exercise</w:t>
      </w:r>
    </w:p>
    <w:p>
      <w:pPr>
        <w:spacing w:after="240"/>
      </w:pPr>
    </w:p>
    <w:p>
      <w:pPr>
        <w:pStyle w:val="Heading2"/>
      </w:pPr>
      <w:r>
        <w:t xml:space="preserve">Part 1: Collaborative Notes on Governance Models</w:t>
      </w:r>
    </w:p>
    <w:p>
      <w:pPr>
        <w:spacing w:after="160"/>
      </w:pPr>
      <w:r>
        <w:rPr>
          <w:sz w:val="22"/>
          <w:szCs w:val="22"/>
        </w:rPr>
        <w:t xml:space="preserve">Work together to build your group's shared notes on governance models from the readings. Follow these rules: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You may not talk to each other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You may not write instructions to each other in this document (or elsewhere, e.g. chat)</w:t>
      </w:r>
    </w:p>
    <w:p>
      <w:pPr>
        <w:spacing w:after="160"/>
      </w:pPr>
    </w:p>
    <w:p>
      <w:pPr>
        <w:spacing w:after="160"/>
      </w:pPr>
      <w:r>
        <w:rPr>
          <w:sz w:val="22"/>
          <w:szCs w:val="22"/>
        </w:rPr>
        <w:t xml:space="preserve">Produce a summary of the governance models described in: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Gardler &amp; Hanganu (2013). Governance models. OSS-Watch.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Fogel (2020). Chapter 8: Managing Participants. Producing OSS.</w:t>
      </w:r>
    </w:p>
    <w:p>
      <w:pPr>
        <w:spacing w:after="160"/>
      </w:pPr>
    </w:p>
    <w:p>
      <w:pPr>
        <w:spacing w:after="160"/>
      </w:pPr>
      <w:r>
        <w:rPr>
          <w:sz w:val="22"/>
          <w:szCs w:val="22"/>
        </w:rPr>
        <w:t xml:space="preserve">Include at least three comparisons between the two readings (agreements, disagreements, extensions, examples, etc.).</w:t>
      </w:r>
    </w:p>
    <w:p>
      <w:pPr>
        <w:spacing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800"/>
              <w:right w:type="dxa" w:w="160"/>
            </w:tcMar>
          </w:tcPr>
          <w:p>
            <w:r>
              <w:rPr>
                <w:i/>
                <w:iCs/>
                <w:color w:val="AAAAAA"/>
                <w:sz w:val="20"/>
                <w:szCs w:val="20"/>
              </w:rPr>
              <w:t xml:space="preserve">Your notes here...</w:t>
            </w:r>
          </w:p>
        </w:tc>
      </w:tr>
    </w:tbl>
    <w:p>
      <w:pPr>
        <w:spacing w:after="320"/>
      </w:pPr>
    </w:p>
    <w:p>
      <w:pPr>
        <w:pStyle w:val="Heading2"/>
      </w:pPr>
      <w:r>
        <w:t xml:space="preserve">Part 2: Reflections on Working Without Talking</w:t>
      </w:r>
    </w:p>
    <w:p>
      <w:pPr>
        <w:spacing w:after="160"/>
      </w:pPr>
      <w:r>
        <w:rPr>
          <w:sz w:val="22"/>
          <w:szCs w:val="22"/>
        </w:rPr>
        <w:t xml:space="preserve">Create a final heading in your notes above: "Reflections on working without talking". Now move to sit next to each other. You may talk. Write at least 3 bullet points about your experience doing this collaborative work without speaking or leaving instructions.</w:t>
      </w:r>
    </w:p>
    <w:p>
      <w:pPr>
        <w:spacing w:after="160"/>
      </w:pP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/>
      </w:r>
    </w:p>
    <w:p>
      <w:pPr>
        <w:spacing w:after="320"/>
      </w:pPr>
    </w:p>
    <w:p>
      <w:pPr>
        <w:pStyle w:val="Heading2"/>
      </w:pPr>
      <w:r>
        <w:t xml:space="preserve">Part 3: Classifying Real Governance Decisions</w:t>
      </w:r>
    </w:p>
    <w:p>
      <w:pPr>
        <w:spacing w:after="160"/>
      </w:pPr>
      <w:r>
        <w:rPr>
          <w:sz w:val="22"/>
          <w:szCs w:val="22"/>
        </w:rPr>
        <w:t xml:space="preserve">Each link below points to a primary source — an actual mailing list thread, RFC, or announcement — where a governance decision was made or recorded. Read each source and classify what kind of decision-making it shows, using the vocabulary from your notes above. You may now talk to each other.</w:t>
      </w:r>
    </w:p>
    <w:p>
      <w:pPr>
        <w:spacing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5200"/>
        <w:gridCol w:w="3760"/>
      </w:tblGrid>
      <w:tr>
        <w:trPr>
          <w:tblHeader/>
        </w:trP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Source (click to open)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Project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urqvvggu4mmly626okawm">
              <w:r>
                <w:rPr>
                  <w:rStyle w:val="Hyperlink"/>
                  <w:b w:val="false"/>
                  <w:bCs w:val="false"/>
                  <w:color w:val="1155CC"/>
                  <w:sz w:val="20"/>
                  <w:szCs w:val="20"/>
                </w:rPr>
                <w:t xml:space="preserve">Guido van Rossum's resignation email as Python BDFL</w:t>
              </w:r>
            </w:hyperlink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Python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uindsq1mmmcsq6p3ydyco">
              <w:r>
                <w:rPr>
                  <w:rStyle w:val="Hyperlink"/>
                  <w:b w:val="false"/>
                  <w:bCs w:val="false"/>
                  <w:color w:val="1155CC"/>
                  <w:sz w:val="20"/>
                  <w:szCs w:val="20"/>
                </w:rPr>
                <w:t xml:space="preserve">PEP 8001 — community vote to choose a new governance model</w:t>
              </w:r>
            </w:hyperlink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Python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aziqzxhrebnpf-k4-xa9l">
              <w:r>
                <w:rPr>
                  <w:rStyle w:val="Hyperlink"/>
                  <w:b w:val="false"/>
                  <w:bCs w:val="false"/>
                  <w:color w:val="1155CC"/>
                  <w:sz w:val="20"/>
                  <w:szCs w:val="20"/>
                </w:rPr>
                <w:t xml:space="preserve">PEP 13 — Python's current governance model</w:t>
              </w:r>
            </w:hyperlink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Python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cydfqtewqjziogr4iqlw-">
              <w:r>
                <w:rPr>
                  <w:rStyle w:val="Hyperlink"/>
                  <w:b w:val="false"/>
                  <w:bCs w:val="false"/>
                  <w:color w:val="1155CC"/>
                  <w:sz w:val="20"/>
                  <w:szCs w:val="20"/>
                </w:rPr>
                <w:t xml:space="preserve">Apache Kafka 3.9.0 RC5 vote result email</w:t>
              </w:r>
            </w:hyperlink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Apache Kafka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8auij6ry-aolrg5md3nc8">
              <w:r>
                <w:rPr>
                  <w:rStyle w:val="Hyperlink"/>
                  <w:b w:val="false"/>
                  <w:bCs w:val="false"/>
                  <w:color w:val="1155CC"/>
                  <w:sz w:val="20"/>
                  <w:szCs w:val="20"/>
                </w:rPr>
                <w:t xml:space="preserve">Apache Kafka 3.9.1 RC1 vote thread</w:t>
              </w:r>
            </w:hyperlink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Apache Kafka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9tejjqixz68ogxhvoligk">
              <w:r>
                <w:rPr>
                  <w:rStyle w:val="Hyperlink"/>
                  <w:b w:val="false"/>
                  <w:bCs w:val="false"/>
                  <w:color w:val="1155CC"/>
                  <w:sz w:val="20"/>
                  <w:szCs w:val="20"/>
                </w:rPr>
                <w:t xml:space="preserve">Apache Hudi 0.10.1 RC2 vote thread</w:t>
              </w:r>
            </w:hyperlink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Apache Hudi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c6l2tnxn5lku3km6_7o4d">
              <w:r>
                <w:rPr>
                  <w:rStyle w:val="Hyperlink"/>
                  <w:b w:val="false"/>
                  <w:bCs w:val="false"/>
                  <w:color w:val="1155CC"/>
                  <w:sz w:val="20"/>
                  <w:szCs w:val="20"/>
                </w:rPr>
                <w:t xml:space="preserve">Apache NiFi 2.1.0 RC1 vote thread</w:t>
              </w:r>
            </w:hyperlink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Apache NiFi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7pj4ms4qxsudtryplyoqu">
              <w:r>
                <w:rPr>
                  <w:rStyle w:val="Hyperlink"/>
                  <w:b w:val="false"/>
                  <w:bCs w:val="false"/>
                  <w:color w:val="1155CC"/>
                  <w:sz w:val="20"/>
                  <w:szCs w:val="20"/>
                </w:rPr>
                <w:t xml:space="preserve">Rust RFC process overview</w:t>
              </w:r>
            </w:hyperlink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Rust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dfzvfbheyuia6ikfkmt-a">
              <w:r>
                <w:rPr>
                  <w:rStyle w:val="Hyperlink"/>
                  <w:b w:val="false"/>
                  <w:bCs w:val="false"/>
                  <w:color w:val="1155CC"/>
                  <w:sz w:val="20"/>
                  <w:szCs w:val="20"/>
                </w:rPr>
                <w:t xml:space="preserve">Rust lang team decision process examples</w:t>
              </w:r>
            </w:hyperlink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Rust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ox0nssemabnbtwxa2babw">
              <w:r>
                <w:rPr>
                  <w:rStyle w:val="Hyperlink"/>
                  <w:b w:val="false"/>
                  <w:bCs w:val="false"/>
                  <w:color w:val="1155CC"/>
                  <w:sz w:val="20"/>
                  <w:szCs w:val="20"/>
                </w:rPr>
                <w:t xml:space="preserve">Bcachefs and the Linux 6.13 merge window</w:t>
              </w:r>
            </w:hyperlink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Linux Kernel</w:t>
            </w:r>
          </w:p>
        </w:tc>
      </w:tr>
    </w:tbl>
    <w:p>
      <w:pPr>
        <w:spacing w:after="320"/>
      </w:pPr>
    </w:p>
    <w:p>
      <w:pPr>
        <w:pStyle w:val="Heading2"/>
      </w:pPr>
      <w:r>
        <w:t xml:space="preserve">Your Task (for each source)</w:t>
      </w:r>
    </w:p>
    <w:p>
      <w:pPr>
        <w:spacing w:after="160"/>
      </w:pPr>
      <w:r>
        <w:rPr>
          <w:sz w:val="22"/>
          <w:szCs w:val="22"/>
        </w:rPr>
        <w:t xml:space="preserve">Write a short entry below for each source. Each entry must include:</w:t>
      </w:r>
    </w:p>
    <w:p>
      <w:pPr>
        <w:spacing w:after="80"/>
      </w:pP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  <w:sz w:val="22"/>
          <w:szCs w:val="22"/>
        </w:rPr>
        <w:t xml:space="preserve">Governance model: </w:t>
      </w:r>
      <w:r>
        <w:rPr>
          <w:sz w:val="22"/>
          <w:szCs w:val="22"/>
        </w:rPr>
        <w:t xml:space="preserve">Name and briefly define the model you see operating in this source.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  <w:sz w:val="22"/>
          <w:szCs w:val="22"/>
        </w:rPr>
        <w:t xml:space="preserve">Evidence with warrants: </w:t>
      </w:r>
      <w:r>
        <w:rPr>
          <w:sz w:val="22"/>
          <w:szCs w:val="22"/>
        </w:rPr>
        <w:t xml:space="preserve">Quote or paraphrase specific language from the source that demonstrates the model. Then explain </w:t>
      </w:r>
      <w:r>
        <w:rPr>
          <w:b/>
          <w:bCs/>
          <w:i/>
          <w:iCs/>
          <w:sz w:val="22"/>
          <w:szCs w:val="22"/>
        </w:rPr>
        <w:t xml:space="preserve">why</w:t>
      </w:r>
      <w:r>
        <w:rPr>
          <w:sz w:val="22"/>
          <w:szCs w:val="22"/>
        </w:rPr>
        <w:t xml:space="preserve"> that evidence supports your classification — this explanation is your </w:t>
      </w:r>
      <w:hyperlink w:history="1" r:id="rIddmko34isxkje4mjkujgke">
        <w:r>
          <w:rPr>
            <w:rStyle w:val="Hyperlink"/>
            <w:color w:val="1155CC"/>
            <w:sz w:val="22"/>
            <w:szCs w:val="22"/>
          </w:rPr>
          <w:t xml:space="preserve">warrant</w:t>
        </w:r>
      </w:hyperlink>
      <w:r>
        <w:rPr>
          <w:sz w:val="22"/>
          <w:szCs w:val="22"/>
        </w:rPr>
        <w:t xml:space="preserve">. Don't just assert — connect the evidence to the claim.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  <w:sz w:val="22"/>
          <w:szCs w:val="22"/>
        </w:rPr>
        <w:t xml:space="preserve">Discussion question: </w:t>
      </w:r>
      <w:r>
        <w:rPr>
          <w:sz w:val="22"/>
          <w:szCs w:val="22"/>
        </w:rPr>
        <w:t xml:space="preserve">Write one question your source raises for the class. Good questions go beyond description — they invite comparison, surface tensions, or probe edge cases. (e.g. "What would happen under a BDFL model if this same situation arose?")</w:t>
      </w:r>
    </w:p>
    <w:p>
      <w:pPr>
        <w:spacing w:after="240"/>
      </w:pPr>
    </w:p>
    <w:p>
      <w:pPr>
        <w:pStyle w:val="Heading2"/>
      </w:pPr>
      <w:r>
        <w:t xml:space="preserve">Example Entry (not for assignment)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120"/>
            </w:pPr>
            <w:r>
              <w:rPr>
                <w:b/>
                <w:bCs/>
                <w:sz w:val="22"/>
                <w:szCs w:val="22"/>
              </w:rPr>
              <w:t xml:space="preserve">Source: Apache Kafka 3.9.0 RC5 vote result</w:t>
            </w:r>
          </w:p>
          <w:p>
            <w:pPr>
              <w:spacing w:after="120"/>
            </w:pPr>
            <w:r>
              <w:rPr>
                <w:b/>
                <w:bCs/>
                <w:sz w:val="20"/>
                <w:szCs w:val="20"/>
              </w:rPr>
              <w:t xml:space="preserve">Governance model: </w:t>
            </w:r>
            <w:r>
              <w:rPr>
                <w:sz w:val="20"/>
                <w:szCs w:val="20"/>
              </w:rPr>
              <w:t xml:space="preserve">Formal voting (Apache-style). The Apache voting model requires explicit numerical votes (+1, 0, -1) from qualified members, with binding authority restricted to PMC members.</w:t>
            </w:r>
          </w:p>
          <w:p>
            <w:pPr>
              <w:spacing w:after="120"/>
            </w:pPr>
            <w:r>
              <w:rPr>
                <w:b/>
                <w:bCs/>
                <w:sz w:val="20"/>
                <w:szCs w:val="20"/>
              </w:rPr>
              <w:t xml:space="preserve">Evidence with warrant: </w:t>
            </w:r>
            <w:r>
              <w:rPr>
                <w:sz w:val="20"/>
                <w:szCs w:val="20"/>
              </w:rPr>
              <w:t xml:space="preserve">The result email lists "7 +1 votes (3 bindings)" and explicitly separates PMC Members from Community voters by name. This demonstrates formal voting because the outcome depends not on the total count but on whether the </w:t>
            </w:r>
            <w:r>
              <w:rPr>
                <w:i/>
                <w:iCs/>
                <w:sz w:val="20"/>
                <w:szCs w:val="20"/>
              </w:rPr>
              <w:t xml:space="preserve">binding</w:t>
            </w:r>
            <w:r>
              <w:rPr>
                <w:sz w:val="20"/>
                <w:szCs w:val="20"/>
              </w:rPr>
              <w:t xml:space="preserve"> threshold (3 PMC +1s, no -1s) was met — showing that authority in Apache is stratified by role, not open democracy.</w:t>
            </w:r>
          </w:p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Discussion question: </w:t>
            </w:r>
            <w:r>
              <w:rPr>
                <w:sz w:val="20"/>
                <w:szCs w:val="20"/>
              </w:rPr>
              <w:t xml:space="preserve">Non-binding votes still appear in the tally. If they carry no weight in the outcome, why does Apache bother recording them at all?</w:t>
            </w:r>
          </w:p>
        </w:tc>
      </w:tr>
    </w:tbl>
    <w:p>
      <w:pPr>
        <w:spacing w:after="320"/>
      </w:pPr>
    </w:p>
    <w:p>
      <w:pPr>
        <w:pStyle w:val="Heading2"/>
      </w:pPr>
      <w:r>
        <w:t xml:space="preserve">Tips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Some sources describe a governance model in policy terms; others show it operating in practice. Both are valid — note which you are looking at.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A good warrant explains the reasoning step between evidence and claim. 'The email says +1 therefore it is voting' is not a warrant. Explain what feature of formal voting this reflects and why it matters.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Discussion questions that compare models (e.g. BDFL vs. council) tend to generate richer conversation than questions about a single example.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2E4057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E4057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urqvvggu4mmly626okawm" Type="http://schemas.openxmlformats.org/officeDocument/2006/relationships/hyperlink" Target="https://mail.python.org/pipermail/python-committers/2018-July/005664.html" TargetMode="External"/><Relationship Id="rIduindsq1mmmcsq6p3ydyco" Type="http://schemas.openxmlformats.org/officeDocument/2006/relationships/hyperlink" Target="https://peps.python.org/pep-8001/" TargetMode="External"/><Relationship Id="rIdaziqzxhrebnpf-k4-xa9l" Type="http://schemas.openxmlformats.org/officeDocument/2006/relationships/hyperlink" Target="https://peps.python.org/pep-0013/" TargetMode="External"/><Relationship Id="rIdcydfqtewqjziogr4iqlw-" Type="http://schemas.openxmlformats.org/officeDocument/2006/relationships/hyperlink" Target="https://www.mail-archive.com/dev@kafka.apache.org/msg144709.html" TargetMode="External"/><Relationship Id="rId8auij6ry-aolrg5md3nc8" Type="http://schemas.openxmlformats.org/officeDocument/2006/relationships/hyperlink" Target="https://www.mail-archive.com/dev@kafka.apache.org/msg149567.html" TargetMode="External"/><Relationship Id="rId9tejjqixz68ogxhvoligk" Type="http://schemas.openxmlformats.org/officeDocument/2006/relationships/hyperlink" Target="https://www.mail-archive.com/users@hudi.apache.org/msg00271.html" TargetMode="External"/><Relationship Id="rIdc6l2tnxn5lku3km6_7o4d" Type="http://schemas.openxmlformats.org/officeDocument/2006/relationships/hyperlink" Target="https://www.mail-archive.com/dev@nifi.apache.org/msg23402.html" TargetMode="External"/><Relationship Id="rId7pj4ms4qxsudtryplyoqu" Type="http://schemas.openxmlformats.org/officeDocument/2006/relationships/hyperlink" Target="https://rust-lang.github.io/rfcs/" TargetMode="External"/><Relationship Id="rIddfzvfbheyuia6ikfkmt-a" Type="http://schemas.openxmlformats.org/officeDocument/2006/relationships/hyperlink" Target="https://lang-team.rust-lang.org/decision_process/examples.html" TargetMode="External"/><Relationship Id="rIdox0nssemabnbtwxa2babw" Type="http://schemas.openxmlformats.org/officeDocument/2006/relationships/hyperlink" Target="https://blog.linuxnews.dev/p/bcachefs-setback-for-linux-6-13" TargetMode="External"/><Relationship Id="rIddmko34isxkje4mjkujgke" Type="http://schemas.openxmlformats.org/officeDocument/2006/relationships/hyperlink" Target="https://writing.wisc.edu/handbook/arguments/warrants/" TargetMode="External"/><Relationship Id="rId1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2026-03-09T14:00:41.513Z</dcterms:created>
  <dcterms:modified xsi:type="dcterms:W3CDTF">2026-03-09T14:00:41.514Z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